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74234">
        <w:rPr>
          <w:rFonts w:ascii="Times New Roman" w:eastAsia="Times New Roman" w:hAnsi="Times New Roman"/>
          <w:bCs/>
          <w:sz w:val="20"/>
          <w:szCs w:val="20"/>
          <w:lang w:eastAsia="ru-RU"/>
        </w:rPr>
        <w:t>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>ыть выпущены не ранее 2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 xml:space="preserve">ерки не ранее </w:t>
      </w:r>
      <w:r w:rsidR="005953FA" w:rsidRPr="005953FA">
        <w:rPr>
          <w:rFonts w:ascii="Times New Roman" w:hAnsi="Times New Roman"/>
          <w:sz w:val="20"/>
          <w:szCs w:val="20"/>
        </w:rPr>
        <w:t>1</w:t>
      </w:r>
      <w:r w:rsidR="00660278">
        <w:rPr>
          <w:rFonts w:ascii="Times New Roman" w:hAnsi="Times New Roman"/>
          <w:sz w:val="20"/>
          <w:szCs w:val="20"/>
        </w:rPr>
        <w:t xml:space="preserve"> кв. 202</w:t>
      </w:r>
      <w:r w:rsidR="005953FA" w:rsidRPr="005953F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 w:rsidR="00ED257B">
        <w:rPr>
          <w:sz w:val="20"/>
          <w:szCs w:val="20"/>
        </w:rPr>
        <w:t xml:space="preserve"> 7.18</w:t>
      </w:r>
      <w:r w:rsidR="00DF1BC9">
        <w:rPr>
          <w:sz w:val="20"/>
          <w:szCs w:val="20"/>
        </w:rPr>
        <w:t xml:space="preserve">. Срок поставки: не более </w:t>
      </w:r>
      <w:r w:rsidR="005953FA" w:rsidRPr="005953FA">
        <w:rPr>
          <w:sz w:val="20"/>
          <w:szCs w:val="20"/>
        </w:rPr>
        <w:t>30</w:t>
      </w:r>
      <w:r w:rsidRPr="00B221CE">
        <w:rPr>
          <w:sz w:val="20"/>
          <w:szCs w:val="20"/>
        </w:rPr>
        <w:t xml:space="preserve"> календарных дней с момента подписания договора.</w:t>
      </w:r>
    </w:p>
    <w:p w:rsidR="009E7FFE" w:rsidRPr="00B221CE" w:rsidRDefault="00ED257B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="009E7FFE"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9E7FFE" w:rsidRPr="00B221CE" w:rsidRDefault="00ED257B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="009E7FFE" w:rsidRPr="00B221CE">
        <w:rPr>
          <w:sz w:val="20"/>
          <w:szCs w:val="20"/>
        </w:rPr>
        <w:t xml:space="preserve">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="009E7FFE"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="009E7FFE"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lastRenderedPageBreak/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1C59A8"/>
    <w:rsid w:val="001D3A30"/>
    <w:rsid w:val="001F0FDB"/>
    <w:rsid w:val="00204568"/>
    <w:rsid w:val="00244C12"/>
    <w:rsid w:val="00274CF0"/>
    <w:rsid w:val="002839E3"/>
    <w:rsid w:val="002A4C31"/>
    <w:rsid w:val="002C194D"/>
    <w:rsid w:val="002C6005"/>
    <w:rsid w:val="00374234"/>
    <w:rsid w:val="003B10C7"/>
    <w:rsid w:val="003C2784"/>
    <w:rsid w:val="003E764A"/>
    <w:rsid w:val="00463EB4"/>
    <w:rsid w:val="004A1607"/>
    <w:rsid w:val="0058472A"/>
    <w:rsid w:val="005953FA"/>
    <w:rsid w:val="006175FB"/>
    <w:rsid w:val="00660278"/>
    <w:rsid w:val="00782E6A"/>
    <w:rsid w:val="007960BB"/>
    <w:rsid w:val="00887035"/>
    <w:rsid w:val="008A36B8"/>
    <w:rsid w:val="008C205D"/>
    <w:rsid w:val="00903CB6"/>
    <w:rsid w:val="009D0745"/>
    <w:rsid w:val="009E7FFE"/>
    <w:rsid w:val="00AC69F7"/>
    <w:rsid w:val="00B11E70"/>
    <w:rsid w:val="00B4369A"/>
    <w:rsid w:val="00C10F1A"/>
    <w:rsid w:val="00C151D9"/>
    <w:rsid w:val="00C354D5"/>
    <w:rsid w:val="00C70981"/>
    <w:rsid w:val="00C96EAC"/>
    <w:rsid w:val="00D26533"/>
    <w:rsid w:val="00D309C8"/>
    <w:rsid w:val="00D45347"/>
    <w:rsid w:val="00DC7238"/>
    <w:rsid w:val="00DF1BC9"/>
    <w:rsid w:val="00DF3DD6"/>
    <w:rsid w:val="00E36C20"/>
    <w:rsid w:val="00EA415F"/>
    <w:rsid w:val="00ED257B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nazarov</cp:lastModifiedBy>
  <cp:revision>3</cp:revision>
  <dcterms:created xsi:type="dcterms:W3CDTF">2022-11-07T08:18:00Z</dcterms:created>
  <dcterms:modified xsi:type="dcterms:W3CDTF">2023-04-10T12:39:00Z</dcterms:modified>
</cp:coreProperties>
</file>